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4394"/>
        <w:gridCol w:w="2257"/>
      </w:tblGrid>
      <w:tr w:rsidR="007C3932" w:rsidRPr="009F1709" w:rsidTr="007C3932">
        <w:trPr>
          <w:jc w:val="center"/>
        </w:trPr>
        <w:tc>
          <w:tcPr>
            <w:tcW w:w="2093" w:type="dxa"/>
          </w:tcPr>
          <w:p w:rsidR="007C3932" w:rsidRPr="009F1709" w:rsidRDefault="007C3932" w:rsidP="007542A6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66800" cy="1038225"/>
                  <wp:effectExtent l="0" t="0" r="0" b="9525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7C3932" w:rsidRPr="009F1709" w:rsidRDefault="007C3932" w:rsidP="007542A6">
            <w:pPr>
              <w:jc w:val="center"/>
            </w:pPr>
            <w:r w:rsidRPr="009F1709">
              <w:t>Επιχειρησιακό Πρόγραμμα</w:t>
            </w:r>
          </w:p>
          <w:p w:rsidR="007C3932" w:rsidRPr="009F1709" w:rsidRDefault="007C3932" w:rsidP="007542A6">
            <w:pPr>
              <w:jc w:val="center"/>
            </w:pPr>
            <w:r w:rsidRPr="009F1709">
              <w:t>Υποδομές Μεταφορών,</w:t>
            </w:r>
          </w:p>
          <w:p w:rsidR="007C3932" w:rsidRPr="009F1709" w:rsidRDefault="007C3932" w:rsidP="007542A6">
            <w:pPr>
              <w:jc w:val="center"/>
            </w:pPr>
            <w:r w:rsidRPr="009F1709">
              <w:t>Περιβάλλον και Αειφόρος Ανάπτυξη</w:t>
            </w:r>
          </w:p>
          <w:p w:rsidR="007C3932" w:rsidRPr="009F1709" w:rsidRDefault="007C3932" w:rsidP="007542A6">
            <w:pPr>
              <w:jc w:val="center"/>
              <w:rPr>
                <w:sz w:val="20"/>
                <w:szCs w:val="20"/>
              </w:rPr>
            </w:pPr>
          </w:p>
          <w:p w:rsidR="007C3932" w:rsidRDefault="007C3932" w:rsidP="007542A6">
            <w:pPr>
              <w:jc w:val="center"/>
              <w:rPr>
                <w:sz w:val="14"/>
                <w:szCs w:val="14"/>
              </w:rPr>
            </w:pPr>
          </w:p>
          <w:p w:rsidR="007C3932" w:rsidRPr="009F1709" w:rsidRDefault="007C3932" w:rsidP="007542A6">
            <w:pPr>
              <w:jc w:val="center"/>
              <w:rPr>
                <w:sz w:val="14"/>
                <w:szCs w:val="14"/>
              </w:rPr>
            </w:pPr>
            <w:r w:rsidRPr="009F1709">
              <w:rPr>
                <w:sz w:val="14"/>
                <w:szCs w:val="14"/>
              </w:rPr>
              <w:t>Με τη συγχρηματοδότηση της Ελλάδας και της Ευρωπαϊκής Ένωσης</w:t>
            </w:r>
          </w:p>
        </w:tc>
        <w:tc>
          <w:tcPr>
            <w:tcW w:w="2035" w:type="dxa"/>
          </w:tcPr>
          <w:p w:rsidR="007C3932" w:rsidRDefault="007C3932" w:rsidP="007542A6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290634" cy="773724"/>
                  <wp:effectExtent l="0" t="0" r="5080" b="762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A1420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487" cy="77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3932" w:rsidRPr="00397E70" w:rsidRDefault="007C3932" w:rsidP="007542A6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5703E9" w:rsidRDefault="005703E9">
      <w:pPr>
        <w:pStyle w:val="a3"/>
        <w:tabs>
          <w:tab w:val="left" w:pos="5832"/>
          <w:tab w:val="left" w:pos="8091"/>
        </w:tabs>
        <w:rPr>
          <w:b w:val="0"/>
          <w:i w:val="0"/>
          <w:noProof/>
          <w:position w:val="2"/>
          <w:sz w:val="20"/>
          <w:lang w:val="en-US" w:eastAsia="el-GR"/>
        </w:rPr>
      </w:pPr>
    </w:p>
    <w:p w:rsidR="00531F47" w:rsidRDefault="00FD6316">
      <w:pPr>
        <w:pStyle w:val="a3"/>
        <w:tabs>
          <w:tab w:val="left" w:pos="5832"/>
          <w:tab w:val="left" w:pos="8091"/>
        </w:tabs>
        <w:rPr>
          <w:b w:val="0"/>
          <w:i w:val="0"/>
          <w:sz w:val="20"/>
        </w:rPr>
      </w:pPr>
      <w:r>
        <w:rPr>
          <w:b w:val="0"/>
          <w:i w:val="0"/>
          <w:position w:val="2"/>
          <w:sz w:val="20"/>
        </w:rPr>
        <w:tab/>
      </w:r>
      <w:r>
        <w:rPr>
          <w:b w:val="0"/>
          <w:i w:val="0"/>
          <w:position w:val="5"/>
          <w:sz w:val="20"/>
        </w:rPr>
        <w:tab/>
      </w:r>
    </w:p>
    <w:p w:rsidR="00531F47" w:rsidRDefault="00531F47">
      <w:pPr>
        <w:rPr>
          <w:rFonts w:ascii="Times New Roman"/>
          <w:sz w:val="20"/>
        </w:rPr>
      </w:pPr>
    </w:p>
    <w:p w:rsidR="00531F47" w:rsidRDefault="00531F47">
      <w:pPr>
        <w:spacing w:before="162"/>
        <w:rPr>
          <w:rFonts w:ascii="Times New Roman"/>
          <w:sz w:val="20"/>
        </w:rPr>
      </w:pPr>
    </w:p>
    <w:tbl>
      <w:tblPr>
        <w:tblStyle w:val="TableNormal"/>
        <w:tblW w:w="105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7"/>
        <w:gridCol w:w="7088"/>
      </w:tblGrid>
      <w:tr w:rsidR="00531F47" w:rsidTr="007C3932">
        <w:trPr>
          <w:trHeight w:val="648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MIS:</w:t>
            </w:r>
          </w:p>
        </w:tc>
        <w:tc>
          <w:tcPr>
            <w:tcW w:w="7088" w:type="dxa"/>
          </w:tcPr>
          <w:p w:rsidR="00531F47" w:rsidRPr="0018420C" w:rsidRDefault="005703E9" w:rsidP="007C3932">
            <w:pPr>
              <w:pStyle w:val="TableParagraph"/>
              <w:spacing w:before="222"/>
              <w:jc w:val="center"/>
              <w:rPr>
                <w:spacing w:val="-4"/>
                <w:sz w:val="24"/>
              </w:rPr>
            </w:pPr>
            <w:r w:rsidRPr="00824E27">
              <w:rPr>
                <w:spacing w:val="-4"/>
                <w:sz w:val="24"/>
              </w:rPr>
              <w:t>5070070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Τίτλος:</w:t>
            </w:r>
          </w:p>
        </w:tc>
        <w:tc>
          <w:tcPr>
            <w:tcW w:w="7088" w:type="dxa"/>
          </w:tcPr>
          <w:p w:rsidR="00531F47" w:rsidRPr="0018420C" w:rsidRDefault="005703E9" w:rsidP="00824E27">
            <w:pPr>
              <w:pStyle w:val="TableParagraph"/>
              <w:spacing w:before="222"/>
              <w:ind w:left="67"/>
              <w:jc w:val="center"/>
              <w:rPr>
                <w:spacing w:val="-4"/>
                <w:sz w:val="24"/>
              </w:rPr>
            </w:pPr>
            <w:r w:rsidRPr="00824E27">
              <w:rPr>
                <w:spacing w:val="-4"/>
                <w:sz w:val="24"/>
              </w:rPr>
              <w:t>Ενεργειακή Αναβάθμιση Γενικού Νοσοκομείου Κορίνθου</w:t>
            </w:r>
          </w:p>
        </w:tc>
      </w:tr>
      <w:tr w:rsidR="00531F47" w:rsidTr="00A93319">
        <w:trPr>
          <w:trHeight w:val="738"/>
        </w:trPr>
        <w:tc>
          <w:tcPr>
            <w:tcW w:w="3427" w:type="dxa"/>
            <w:shd w:val="clear" w:color="auto" w:fill="C5D9F0"/>
          </w:tcPr>
          <w:p w:rsidR="00A93319" w:rsidRDefault="00FD6316" w:rsidP="00A93319">
            <w:pPr>
              <w:pStyle w:val="TableParagraph"/>
              <w:spacing w:before="76"/>
              <w:ind w:left="1377" w:hanging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Επιχειρησιακό Πρόγραμμα:</w:t>
            </w:r>
          </w:p>
          <w:p w:rsidR="00531F47" w:rsidRPr="00A93319" w:rsidRDefault="00531F47" w:rsidP="00A93319">
            <w:pPr>
              <w:jc w:val="right"/>
            </w:pPr>
          </w:p>
        </w:tc>
        <w:tc>
          <w:tcPr>
            <w:tcW w:w="7088" w:type="dxa"/>
          </w:tcPr>
          <w:p w:rsidR="00531F47" w:rsidRPr="00824E27" w:rsidRDefault="005703E9" w:rsidP="00824E27">
            <w:pPr>
              <w:pStyle w:val="TableParagraph"/>
              <w:spacing w:before="222"/>
              <w:ind w:left="67"/>
              <w:jc w:val="center"/>
              <w:rPr>
                <w:spacing w:val="-4"/>
                <w:sz w:val="24"/>
              </w:rPr>
            </w:pPr>
            <w:r w:rsidRPr="00824E27">
              <w:rPr>
                <w:spacing w:val="-4"/>
                <w:sz w:val="24"/>
              </w:rPr>
              <w:t>Υποδομές Μεταφορών, Περιβάλλον και Αειφόρος Ανάπτυξη 2014-2020</w:t>
            </w:r>
          </w:p>
        </w:tc>
      </w:tr>
      <w:tr w:rsidR="00531F47" w:rsidTr="00A93319">
        <w:trPr>
          <w:trHeight w:val="737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0"/>
              <w:ind w:left="6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Φορέας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λειτουργίας:</w:t>
            </w:r>
          </w:p>
        </w:tc>
        <w:tc>
          <w:tcPr>
            <w:tcW w:w="7088" w:type="dxa"/>
          </w:tcPr>
          <w:p w:rsidR="00531F47" w:rsidRDefault="0018420C">
            <w:pPr>
              <w:pStyle w:val="TableParagraph"/>
              <w:spacing w:before="220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Γενικό Νοσοκομείο Κορίνθου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Προϋπολογισμός:</w:t>
            </w:r>
          </w:p>
        </w:tc>
        <w:tc>
          <w:tcPr>
            <w:tcW w:w="7088" w:type="dxa"/>
          </w:tcPr>
          <w:p w:rsidR="00531F47" w:rsidRPr="005703E9" w:rsidRDefault="005703E9" w:rsidP="0018420C">
            <w:pPr>
              <w:pStyle w:val="TableParagraph"/>
              <w:spacing w:before="222"/>
              <w:ind w:left="67"/>
              <w:jc w:val="center"/>
              <w:rPr>
                <w:sz w:val="24"/>
                <w:lang w:val="en-US"/>
              </w:rPr>
            </w:pPr>
            <w:r w:rsidRPr="005703E9">
              <w:rPr>
                <w:sz w:val="24"/>
              </w:rPr>
              <w:t>4.434.744,06</w:t>
            </w:r>
            <w:r>
              <w:rPr>
                <w:sz w:val="24"/>
                <w:lang w:val="en-US"/>
              </w:rPr>
              <w:t xml:space="preserve"> €</w:t>
            </w:r>
          </w:p>
        </w:tc>
      </w:tr>
      <w:tr w:rsidR="00531F47" w:rsidTr="00A93319">
        <w:trPr>
          <w:trHeight w:val="736"/>
        </w:trPr>
        <w:tc>
          <w:tcPr>
            <w:tcW w:w="3427" w:type="dxa"/>
            <w:shd w:val="clear" w:color="auto" w:fill="C5D9F0"/>
          </w:tcPr>
          <w:p w:rsidR="00531F47" w:rsidRDefault="00FD6316">
            <w:pPr>
              <w:pStyle w:val="TableParagraph"/>
              <w:spacing w:before="222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Ταμείο:</w:t>
            </w:r>
          </w:p>
        </w:tc>
        <w:tc>
          <w:tcPr>
            <w:tcW w:w="7088" w:type="dxa"/>
          </w:tcPr>
          <w:p w:rsidR="00531F47" w:rsidRDefault="00FD6316">
            <w:pPr>
              <w:pStyle w:val="TableParagraph"/>
              <w:spacing w:before="222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ΕΤΠΑ</w:t>
            </w:r>
          </w:p>
        </w:tc>
      </w:tr>
      <w:tr w:rsidR="00531F47" w:rsidTr="00A93319">
        <w:trPr>
          <w:trHeight w:val="3430"/>
        </w:trPr>
        <w:tc>
          <w:tcPr>
            <w:tcW w:w="3427" w:type="dxa"/>
            <w:shd w:val="clear" w:color="auto" w:fill="C5D9F0"/>
          </w:tcPr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spacing w:before="64"/>
              <w:rPr>
                <w:rFonts w:ascii="Times New Roman"/>
                <w:sz w:val="24"/>
              </w:rPr>
            </w:pPr>
          </w:p>
          <w:p w:rsidR="00531F47" w:rsidRDefault="00FD6316">
            <w:pPr>
              <w:pStyle w:val="TableParagraph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Περιγραφή:</w:t>
            </w:r>
          </w:p>
        </w:tc>
        <w:tc>
          <w:tcPr>
            <w:tcW w:w="7088" w:type="dxa"/>
          </w:tcPr>
          <w:p w:rsidR="00531F47" w:rsidRPr="00824E27" w:rsidRDefault="00531F47">
            <w:pPr>
              <w:pStyle w:val="TableParagraph"/>
              <w:spacing w:before="1"/>
              <w:rPr>
                <w:sz w:val="24"/>
              </w:rPr>
            </w:pPr>
          </w:p>
          <w:p w:rsidR="00A93319" w:rsidRPr="00824E27" w:rsidRDefault="005703E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πράξη </w:t>
            </w:r>
            <w:r w:rsidR="00A93319" w:rsidRPr="00824E27">
              <w:rPr>
                <w:rFonts w:ascii="Calibri" w:eastAsia="Calibri" w:hAnsi="Calibri" w:cs="Calibri"/>
                <w:sz w:val="24"/>
              </w:rPr>
              <w:t xml:space="preserve">Η Πράξη αφορά στην Ενεργειακή Αναβάθμιση των Κτιριακών Υποδομών του Γενικού Νοσοκομείου Κορίνθου με την υλοποίηση δράσεων εξοικονόμησης ενέργειας και δράσεων Α.Π.Ε. Η ενεργειακή αναβάθμιση περιλαμβάνει τις παρακάτω επεμβάσεις: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rPr>
                <w:rFonts w:ascii="Calibri" w:eastAsia="Calibri" w:hAnsi="Calibri" w:cs="Calibri"/>
                <w:b/>
                <w:sz w:val="24"/>
              </w:rPr>
            </w:pPr>
            <w:r w:rsidRPr="00824E27">
              <w:rPr>
                <w:rFonts w:ascii="Calibri" w:eastAsia="Calibri" w:hAnsi="Calibri" w:cs="Calibri"/>
                <w:b/>
                <w:sz w:val="24"/>
              </w:rPr>
              <w:t>Παρεμβάσεις βελτίωσης του κελύφους του κτιριακού συγκροτήματος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>:</w:t>
            </w:r>
          </w:p>
          <w:p w:rsidR="00A93319" w:rsidRPr="00824E27" w:rsidRDefault="00A9331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Θερμομόνωση και Υγρομόνωση Δωμάτων του Κτιριακού Συγκροτήματος </w:t>
            </w:r>
          </w:p>
          <w:p w:rsidR="00A93319" w:rsidRPr="00824E27" w:rsidRDefault="00A93319" w:rsidP="0091065D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rPr>
                <w:rFonts w:ascii="Calibri" w:eastAsia="Calibri" w:hAnsi="Calibri" w:cs="Calibri"/>
                <w:b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Αντικατάσταση των ξύλινων κουφωμάτων ή των κουφωμάτων αλουμινίου χωρίς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θερμοδιακοπή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με νέα ενεργειακά κουφώματα  </w:t>
            </w:r>
            <w:r w:rsidR="0091065D" w:rsidRPr="00824E27">
              <w:rPr>
                <w:rFonts w:ascii="Calibri" w:eastAsia="Calibri" w:hAnsi="Calibri" w:cs="Calibri"/>
                <w:sz w:val="24"/>
              </w:rPr>
              <w:t xml:space="preserve">     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 xml:space="preserve">Παρεμβάσεις αναβάθμισης των 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>ηλεκτρομηχανολογικών εγκαταστάσεων με τη χρήση ΑΠΕ</w:t>
            </w:r>
            <w:r w:rsidR="0091065D" w:rsidRPr="00824E27">
              <w:rPr>
                <w:rFonts w:ascii="Calibri" w:eastAsia="Calibri" w:hAnsi="Calibri" w:cs="Calibri"/>
                <w:b/>
                <w:sz w:val="24"/>
              </w:rPr>
              <w:t>: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Αναβάθμιση του συστήματος θέρμανσης συνολικής ισχύος 3345kW με την τοποθέτηση τριών νέων λεβήτων υψηλής απόδοσης με καυστήρες πετρελαίου - αερίου με ταυτόχρονη εγκατάσταση συστήματος αντιστάθμισης θερμοκρασιών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Αντικατάσταση των δύο παλαιωμένων αερόψυκτων μονάδων ψύξης </w:t>
            </w:r>
            <w:r w:rsidRPr="00824E27">
              <w:rPr>
                <w:rFonts w:ascii="Calibri" w:eastAsia="Calibri" w:hAnsi="Calibri" w:cs="Calibri"/>
                <w:sz w:val="24"/>
              </w:rPr>
              <w:lastRenderedPageBreak/>
              <w:t xml:space="preserve">ισχύος 650kW έκαστη, με νέους αερόψυκτους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ψύκτες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και προσθήκη μιας επιπλέον μονάδας για την κάλυψη των αναγκών του κτιρίου Δ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Προσθήκη νέου κεντρικού συστήματος θέρμανσης – ψύξης με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Fan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Coil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στο κτίριο Δ, το οποίο παραλληλίζεται με το υφιστάμενο σύστημα θέρμανσης – ψύξης του κτιριακού συγκροτήματος και αντικατάσταση όλων των παλαιωμένων μονάδων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fan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coil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του υπόλοιπου κτιριακού συγκροτήματος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Αντικατάσταση των 21 (είκοσι μία) Κεντρικών Κλιματιστικών Μονάδων που διαθέτει το ΓΝ Κορίνθου με νέες ΚΚΜ και προσθήκη 4 (τεσσάρων) νέων ΚΚΜ στο κτίριο Δ με ανάκτηση θερμότητας άνω των 60%., προκειμένου να καλύπτονται οι προδιαγραφές αερισμού όλων των χώρων του Νοσοκομείου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Τοποθέτηση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Ηλιοθερμικού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Συστήματος για την παραγωγή Ζεστών Νερών Χρήσης, συνολικής συλλεκτικής επιφάνειας 182 τμ  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Αντικατάσταση όλων των λαμπτήρων φθορισμού του Νοσοκομείου με νέους ισοδύναμους λαμπτήρες τύπου LED</w:t>
            </w:r>
          </w:p>
          <w:p w:rsidR="00A93319" w:rsidRPr="00824E27" w:rsidRDefault="00A93319" w:rsidP="0091065D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9072"/>
              </w:tabs>
              <w:adjustRightInd w:val="0"/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Εγκατάσταση ολοκληρωμένου συστήματος διαχείρισης ενέργειας (BEMS) του συστήματος θέρμανσης – ψύξης - κλιματισμού.</w:t>
            </w:r>
          </w:p>
          <w:p w:rsidR="00A93319" w:rsidRPr="00824E27" w:rsidRDefault="0091065D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b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γ) Παρ   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>Παρε</w:t>
            </w:r>
            <w:r w:rsidR="00A93319" w:rsidRPr="00824E27">
              <w:rPr>
                <w:rFonts w:ascii="Calibri" w:eastAsia="Calibri" w:hAnsi="Calibri" w:cs="Calibri"/>
                <w:b/>
                <w:sz w:val="24"/>
              </w:rPr>
              <w:t xml:space="preserve">μβάσεις στον </w:t>
            </w:r>
            <w:proofErr w:type="spellStart"/>
            <w:r w:rsidR="00A93319" w:rsidRPr="00824E27">
              <w:rPr>
                <w:rFonts w:ascii="Calibri" w:eastAsia="Calibri" w:hAnsi="Calibri" w:cs="Calibri"/>
                <w:b/>
                <w:sz w:val="24"/>
              </w:rPr>
              <w:t>Ιατροτεχνολογικό</w:t>
            </w:r>
            <w:proofErr w:type="spellEnd"/>
            <w:r w:rsidR="00A93319" w:rsidRPr="00824E27">
              <w:rPr>
                <w:rFonts w:ascii="Calibri" w:eastAsia="Calibri" w:hAnsi="Calibri" w:cs="Calibri"/>
                <w:b/>
                <w:sz w:val="24"/>
              </w:rPr>
              <w:t xml:space="preserve"> Εξοπλισμό</w:t>
            </w:r>
            <w:r w:rsidRPr="00824E27">
              <w:rPr>
                <w:rFonts w:ascii="Calibri" w:eastAsia="Calibri" w:hAnsi="Calibri" w:cs="Calibri"/>
                <w:b/>
                <w:sz w:val="24"/>
              </w:rPr>
              <w:t>:</w:t>
            </w:r>
          </w:p>
          <w:p w:rsidR="00A93319" w:rsidRPr="00824E27" w:rsidRDefault="00A9331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Αντικατάσταση πέντε (5)  παλαιών μηχανημάτων αιμοκάθαρσης με αντιστοίχου αριθμού νέου τύπου με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on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>-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line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με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αιμοδιαδιήθηση</w:t>
            </w:r>
            <w:proofErr w:type="spellEnd"/>
          </w:p>
          <w:p w:rsidR="00A93319" w:rsidRPr="00824E27" w:rsidRDefault="00A9331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 xml:space="preserve">Αντικατάσταση παλαιού αναλογικού ακτινολογικού μηχανήματος με νέο ψηφιακού τύπου </w:t>
            </w:r>
          </w:p>
          <w:p w:rsidR="00A93319" w:rsidRPr="00824E27" w:rsidRDefault="00A93319" w:rsidP="00A9331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>•</w:t>
            </w:r>
            <w:r w:rsidRPr="00824E27">
              <w:rPr>
                <w:rFonts w:ascii="Calibri" w:eastAsia="Calibri" w:hAnsi="Calibri" w:cs="Calibri"/>
                <w:sz w:val="24"/>
              </w:rPr>
              <w:tab/>
              <w:t>Δυο Νέοι Ψηφιακοί Ανιχνευτές Άμεσης Ακτινογραφίας και Σταθμός Εργασίας ακτινολογικού μηχανήματος προς αναβάθμιση του υπάρχοντος αναλογικού ακτινολογικού μηχανήματος σε ψηφιακό με αντικατάσταση του υπάρχοντος συστήματος αναλογικής λήψης ακτινοδιαγνωστικών εικόνων.</w:t>
            </w:r>
          </w:p>
          <w:p w:rsidR="00531F47" w:rsidRPr="00824E27" w:rsidRDefault="00531F47" w:rsidP="005703E9">
            <w:pPr>
              <w:pStyle w:val="a4"/>
              <w:widowControl/>
              <w:tabs>
                <w:tab w:val="left" w:pos="9072"/>
              </w:tabs>
              <w:adjustRightInd w:val="0"/>
              <w:spacing w:line="360" w:lineRule="auto"/>
              <w:ind w:left="23" w:hanging="720"/>
              <w:contextualSpacing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531F47" w:rsidTr="00A93319">
        <w:trPr>
          <w:trHeight w:val="3515"/>
        </w:trPr>
        <w:tc>
          <w:tcPr>
            <w:tcW w:w="3427" w:type="dxa"/>
            <w:shd w:val="clear" w:color="auto" w:fill="C5D9F0"/>
          </w:tcPr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rPr>
                <w:rFonts w:ascii="Times New Roman"/>
                <w:sz w:val="24"/>
              </w:rPr>
            </w:pPr>
          </w:p>
          <w:p w:rsidR="00531F47" w:rsidRDefault="00531F47">
            <w:pPr>
              <w:pStyle w:val="TableParagraph"/>
              <w:spacing w:before="229"/>
              <w:rPr>
                <w:rFonts w:ascii="Times New Roman"/>
                <w:sz w:val="24"/>
              </w:rPr>
            </w:pPr>
          </w:p>
          <w:p w:rsidR="00531F47" w:rsidRDefault="00FD6316">
            <w:pPr>
              <w:pStyle w:val="TableParagraph"/>
              <w:spacing w:before="1"/>
              <w:ind w:left="6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Οφέλη:</w:t>
            </w:r>
          </w:p>
        </w:tc>
        <w:tc>
          <w:tcPr>
            <w:tcW w:w="7088" w:type="dxa"/>
          </w:tcPr>
          <w:p w:rsidR="006D4816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 xml:space="preserve">Μετά τις παρεμβάσεις το </w:t>
            </w:r>
            <w:r w:rsidRPr="00824E27">
              <w:rPr>
                <w:rFonts w:ascii="Calibri" w:eastAsia="Calibri" w:hAnsi="Calibri" w:cs="Calibri"/>
                <w:sz w:val="24"/>
              </w:rPr>
              <w:t xml:space="preserve">Νοσοκομείο θα είναι πλέον πλήρως λειτουργικό και ανακαινισμένο όσο αφορά τις Ηλεκτρομηχανολογικές του εγκαταστάσεις, ενώ θα μειωθούν οι λειτουργικές του δαπάνες και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>το περιβαλλοντολογικό του αποτύπωμα</w:t>
            </w:r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>.</w:t>
            </w:r>
          </w:p>
          <w:p w:rsidR="006D4816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 Ταυτόχρονα θα προσφέρει άνεση στους νοσηλευόμενους και τους εργαζόμενους, καθώς όλοι οι χώροι θα αερίζονται και θα κλιματίζονται από σύγχρονες μονάδες, καλύπτοντας τις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προδιάγραφες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αερισμού όλων των χώρων του Νοσοκομείου. </w:t>
            </w:r>
          </w:p>
          <w:p w:rsidR="0091065D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Με την προσθήκη του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Ηλιοθερμικού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Συστήματος και την αντικατάσταση των υπαρχόντων καυστήρων σε νέου τύπου αερίου – πετρελαίου επιτυγχάνεται εξοικονόμηση σε οικονομικούς πόρους.</w:t>
            </w:r>
          </w:p>
          <w:p w:rsidR="00531F47" w:rsidRPr="00824E27" w:rsidRDefault="0091065D" w:rsidP="0091065D">
            <w:pPr>
              <w:tabs>
                <w:tab w:val="left" w:pos="9072"/>
              </w:tabs>
              <w:adjustRightInd w:val="0"/>
              <w:spacing w:line="360" w:lineRule="auto"/>
              <w:jc w:val="both"/>
              <w:rPr>
                <w:rFonts w:ascii="Calibri" w:eastAsia="Calibri" w:hAnsi="Calibri" w:cs="Calibri"/>
                <w:sz w:val="24"/>
              </w:rPr>
            </w:pPr>
            <w:r w:rsidRPr="00824E27">
              <w:rPr>
                <w:rFonts w:ascii="Calibri" w:eastAsia="Calibri" w:hAnsi="Calibri" w:cs="Calibri"/>
                <w:sz w:val="24"/>
              </w:rPr>
              <w:t xml:space="preserve"> Η αντικατάσταση και αναβάθμιση των ακτινολογικών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μηχανήματων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από αναλογικού τύπου σε ψηφιακού θα αναβαθμίσει τις παρεχόμενες υπηρεσίες του Νοσοκομείου, καθώς οι ακτινογραφίες θα είναι ταυτόχρονα αναγνώσιμες από διαφορετικά τμήματα. Η αντικατάσταση των μηχανημάτων αιμοκάθαρσης με νέου τύπου  για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OnLine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824E27">
              <w:rPr>
                <w:rFonts w:ascii="Calibri" w:eastAsia="Calibri" w:hAnsi="Calibri" w:cs="Calibri"/>
                <w:sz w:val="24"/>
              </w:rPr>
              <w:t>αιμοδιαδιήθηση</w:t>
            </w:r>
            <w:proofErr w:type="spellEnd"/>
            <w:r w:rsidRPr="00824E27">
              <w:rPr>
                <w:rFonts w:ascii="Calibri" w:eastAsia="Calibri" w:hAnsi="Calibri" w:cs="Calibri"/>
                <w:sz w:val="24"/>
              </w:rPr>
              <w:t xml:space="preserve"> νέας τεχνολογίας και ειδικά σχεδιασμένα για τις σύγχρονες ανάγκες αιμοκάθαρσης</w:t>
            </w:r>
            <w:r w:rsidR="006D4816" w:rsidRPr="00824E27">
              <w:rPr>
                <w:rFonts w:ascii="Calibri" w:eastAsia="Calibri" w:hAnsi="Calibri" w:cs="Calibri"/>
                <w:sz w:val="24"/>
              </w:rPr>
              <w:t xml:space="preserve"> θα βελτιώσει την παροχή υπηρεσιών υγείας στη Μονάδα Τεχνητού Νεφρού και το επίπεδο ικανοποίησης των ασθενών.</w:t>
            </w:r>
          </w:p>
        </w:tc>
      </w:tr>
    </w:tbl>
    <w:p w:rsidR="00FD6316" w:rsidRDefault="00FD6316"/>
    <w:sectPr w:rsidR="00FD6316" w:rsidSect="00531F47">
      <w:type w:val="continuous"/>
      <w:pgSz w:w="11920" w:h="16850"/>
      <w:pgMar w:top="1220" w:right="85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681"/>
    <w:multiLevelType w:val="hybridMultilevel"/>
    <w:tmpl w:val="D31A1AD0"/>
    <w:lvl w:ilvl="0" w:tplc="2460DE1E">
      <w:numFmt w:val="bullet"/>
      <w:lvlText w:val="•"/>
      <w:lvlJc w:val="left"/>
      <w:pPr>
        <w:ind w:left="-337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</w:abstractNum>
  <w:abstractNum w:abstractNumId="1">
    <w:nsid w:val="3F085AC2"/>
    <w:multiLevelType w:val="hybridMultilevel"/>
    <w:tmpl w:val="12FA8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D064A"/>
    <w:multiLevelType w:val="hybridMultilevel"/>
    <w:tmpl w:val="04EC1618"/>
    <w:lvl w:ilvl="0" w:tplc="04080001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abstractNum w:abstractNumId="3">
    <w:nsid w:val="5B800CA9"/>
    <w:multiLevelType w:val="hybridMultilevel"/>
    <w:tmpl w:val="E45C1A4E"/>
    <w:lvl w:ilvl="0" w:tplc="04080001">
      <w:start w:val="1"/>
      <w:numFmt w:val="bullet"/>
      <w:lvlText w:val=""/>
      <w:lvlJc w:val="left"/>
      <w:pPr>
        <w:ind w:left="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1F47"/>
    <w:rsid w:val="000C437C"/>
    <w:rsid w:val="0018420C"/>
    <w:rsid w:val="004B6618"/>
    <w:rsid w:val="00531F47"/>
    <w:rsid w:val="005703E9"/>
    <w:rsid w:val="006D4816"/>
    <w:rsid w:val="007C3932"/>
    <w:rsid w:val="00824E27"/>
    <w:rsid w:val="00857970"/>
    <w:rsid w:val="00873EE0"/>
    <w:rsid w:val="0091065D"/>
    <w:rsid w:val="00A93319"/>
    <w:rsid w:val="00CF515B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1F47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F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31F47"/>
    <w:pPr>
      <w:ind w:left="569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531F47"/>
  </w:style>
  <w:style w:type="paragraph" w:customStyle="1" w:styleId="TableParagraph">
    <w:name w:val="Table Paragraph"/>
    <w:basedOn w:val="a"/>
    <w:uiPriority w:val="1"/>
    <w:qFormat/>
    <w:rsid w:val="00531F47"/>
    <w:rPr>
      <w:rFonts w:ascii="Calibri" w:eastAsia="Calibri" w:hAnsi="Calibri" w:cs="Calibri"/>
    </w:rPr>
  </w:style>
  <w:style w:type="paragraph" w:styleId="a5">
    <w:name w:val="Balloon Text"/>
    <w:basedOn w:val="a"/>
    <w:link w:val="Char"/>
    <w:uiPriority w:val="99"/>
    <w:semiHidden/>
    <w:unhideWhenUsed/>
    <w:rsid w:val="008579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57970"/>
    <w:rPr>
      <w:rFonts w:ascii="Tahoma" w:hAnsi="Tahoma" w:cs="Tahoma"/>
      <w:sz w:val="16"/>
      <w:szCs w:val="16"/>
      <w:lang w:val="el-GR"/>
    </w:rPr>
  </w:style>
  <w:style w:type="table" w:styleId="a6">
    <w:name w:val="Table Grid"/>
    <w:basedOn w:val="a1"/>
    <w:uiPriority w:val="59"/>
    <w:rsid w:val="007C3932"/>
    <w:pPr>
      <w:widowControl/>
      <w:autoSpaceDE/>
      <w:autoSpaceDN/>
    </w:pPr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a.patsarika</cp:lastModifiedBy>
  <cp:revision>7</cp:revision>
  <dcterms:created xsi:type="dcterms:W3CDTF">2026-01-20T11:35:00Z</dcterms:created>
  <dcterms:modified xsi:type="dcterms:W3CDTF">2026-01-21T07:21:00Z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